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E5B" w:rsidRPr="00AF4E5B" w:rsidRDefault="00AF4E5B" w:rsidP="00AF4E5B">
      <w:pPr>
        <w:keepLines/>
        <w:numPr>
          <w:ilvl w:val="0"/>
          <w:numId w:val="3"/>
        </w:numPr>
        <w:tabs>
          <w:tab w:val="clear" w:pos="36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QTC Capital Markets </w:t>
      </w:r>
      <w:r w:rsidRPr="00AF4E5B">
        <w:rPr>
          <w:rFonts w:ascii="Arial" w:hAnsi="Arial" w:cs="Arial"/>
          <w:bCs/>
          <w:spacing w:val="-3"/>
          <w:sz w:val="22"/>
          <w:szCs w:val="22"/>
        </w:rPr>
        <w:t xml:space="preserve">Board is </w:t>
      </w:r>
      <w:r w:rsidRPr="00AF4E5B">
        <w:rPr>
          <w:rFonts w:ascii="Arial" w:hAnsi="Arial" w:cs="Arial"/>
          <w:sz w:val="22"/>
          <w:szCs w:val="22"/>
        </w:rPr>
        <w:t xml:space="preserve">established under section 10 of the </w:t>
      </w:r>
      <w:r w:rsidRPr="00AF4E5B">
        <w:rPr>
          <w:rFonts w:ascii="Arial" w:hAnsi="Arial" w:cs="Arial"/>
          <w:i/>
          <w:sz w:val="22"/>
          <w:szCs w:val="22"/>
        </w:rPr>
        <w:t>Queensland Treasury Corporation Act 1988</w:t>
      </w:r>
      <w:r w:rsidRPr="00AF4E5B">
        <w:rPr>
          <w:rFonts w:ascii="Arial" w:hAnsi="Arial" w:cs="Arial"/>
          <w:sz w:val="22"/>
          <w:szCs w:val="22"/>
        </w:rPr>
        <w:t xml:space="preserve"> (the Act) and is responsible for managing all of QTC’s affairs, except those relating to certain superannuation and other long-term assets.  Board responsibilities include:</w:t>
      </w:r>
    </w:p>
    <w:p w:rsidR="00AF4E5B" w:rsidRPr="00AF4E5B" w:rsidRDefault="00AF4E5B" w:rsidP="00AF4E5B">
      <w:pPr>
        <w:numPr>
          <w:ilvl w:val="0"/>
          <w:numId w:val="4"/>
        </w:numPr>
        <w:tabs>
          <w:tab w:val="clear" w:pos="360"/>
          <w:tab w:val="num" w:pos="851"/>
        </w:tabs>
        <w:spacing w:after="100" w:afterAutospacing="1"/>
        <w:ind w:left="850" w:hanging="425"/>
        <w:rPr>
          <w:rFonts w:ascii="Arial" w:hAnsi="Arial" w:cs="Arial"/>
          <w:color w:val="auto"/>
          <w:sz w:val="22"/>
          <w:szCs w:val="22"/>
        </w:rPr>
      </w:pPr>
      <w:r w:rsidRPr="00AF4E5B">
        <w:rPr>
          <w:rFonts w:ascii="Arial" w:hAnsi="Arial" w:cs="Arial"/>
          <w:color w:val="auto"/>
          <w:sz w:val="22"/>
          <w:szCs w:val="22"/>
        </w:rPr>
        <w:t xml:space="preserve">overseeing QTC’s operations, including its control and accountability systems; </w:t>
      </w:r>
    </w:p>
    <w:p w:rsidR="00AF4E5B" w:rsidRPr="00AF4E5B" w:rsidRDefault="00AF4E5B" w:rsidP="00AF4E5B">
      <w:pPr>
        <w:numPr>
          <w:ilvl w:val="0"/>
          <w:numId w:val="4"/>
        </w:numPr>
        <w:tabs>
          <w:tab w:val="clear" w:pos="360"/>
          <w:tab w:val="num" w:pos="851"/>
        </w:tabs>
        <w:spacing w:before="100" w:beforeAutospacing="1" w:after="100" w:afterAutospacing="1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AF4E5B">
        <w:rPr>
          <w:rFonts w:ascii="Arial" w:hAnsi="Arial" w:cs="Arial"/>
          <w:color w:val="auto"/>
          <w:sz w:val="22"/>
          <w:szCs w:val="22"/>
        </w:rPr>
        <w:t>developing and monitoring QTC’s strategic and corporate plans, operational policy and yearly budge</w:t>
      </w:r>
      <w:r w:rsidR="00E760C1">
        <w:rPr>
          <w:rFonts w:ascii="Arial" w:hAnsi="Arial" w:cs="Arial"/>
          <w:color w:val="auto"/>
          <w:sz w:val="22"/>
          <w:szCs w:val="22"/>
        </w:rPr>
        <w:t>t</w:t>
      </w:r>
      <w:r w:rsidRPr="00AF4E5B">
        <w:rPr>
          <w:rFonts w:ascii="Arial" w:hAnsi="Arial" w:cs="Arial"/>
          <w:color w:val="auto"/>
          <w:sz w:val="22"/>
          <w:szCs w:val="22"/>
        </w:rPr>
        <w:t>;</w:t>
      </w:r>
    </w:p>
    <w:p w:rsidR="00AF4E5B" w:rsidRPr="00AF4E5B" w:rsidRDefault="00AF4E5B" w:rsidP="00AF4E5B">
      <w:pPr>
        <w:numPr>
          <w:ilvl w:val="0"/>
          <w:numId w:val="4"/>
        </w:numPr>
        <w:tabs>
          <w:tab w:val="clear" w:pos="360"/>
          <w:tab w:val="num" w:pos="851"/>
        </w:tabs>
        <w:spacing w:before="100" w:beforeAutospacing="1" w:after="100" w:afterAutospacing="1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AF4E5B">
        <w:rPr>
          <w:rFonts w:ascii="Arial" w:hAnsi="Arial" w:cs="Arial"/>
          <w:color w:val="auto"/>
          <w:sz w:val="22"/>
          <w:szCs w:val="22"/>
        </w:rPr>
        <w:t>monitoring and measuring financial and operational performance;</w:t>
      </w:r>
    </w:p>
    <w:p w:rsidR="00AF4E5B" w:rsidRPr="00AF4E5B" w:rsidRDefault="00AF4E5B" w:rsidP="00AF4E5B">
      <w:pPr>
        <w:numPr>
          <w:ilvl w:val="0"/>
          <w:numId w:val="4"/>
        </w:numPr>
        <w:tabs>
          <w:tab w:val="clear" w:pos="360"/>
          <w:tab w:val="num" w:pos="851"/>
        </w:tabs>
        <w:spacing w:before="100" w:beforeAutospacing="1" w:after="100" w:afterAutospacing="1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AF4E5B">
        <w:rPr>
          <w:rFonts w:ascii="Arial" w:hAnsi="Arial" w:cs="Arial"/>
          <w:color w:val="auto"/>
          <w:sz w:val="22"/>
          <w:szCs w:val="22"/>
        </w:rPr>
        <w:t xml:space="preserve">monitoring and measuring organisational and staff performance; </w:t>
      </w:r>
    </w:p>
    <w:p w:rsidR="00AF4E5B" w:rsidRPr="00AF4E5B" w:rsidRDefault="00AF4E5B" w:rsidP="00AF4E5B">
      <w:pPr>
        <w:numPr>
          <w:ilvl w:val="0"/>
          <w:numId w:val="4"/>
        </w:numPr>
        <w:tabs>
          <w:tab w:val="clear" w:pos="360"/>
          <w:tab w:val="num" w:pos="851"/>
        </w:tabs>
        <w:spacing w:before="100" w:beforeAutospacing="1" w:after="100" w:afterAutospacing="1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AF4E5B">
        <w:rPr>
          <w:rFonts w:ascii="Arial" w:hAnsi="Arial" w:cs="Arial"/>
          <w:color w:val="auto"/>
          <w:sz w:val="22"/>
          <w:szCs w:val="22"/>
        </w:rPr>
        <w:t xml:space="preserve">monitoring key risks and risk management processes; and </w:t>
      </w:r>
    </w:p>
    <w:p w:rsidR="00D6589B" w:rsidRPr="00AF4E5B" w:rsidRDefault="00AF4E5B" w:rsidP="00AF4E5B">
      <w:pPr>
        <w:numPr>
          <w:ilvl w:val="0"/>
          <w:numId w:val="4"/>
        </w:numPr>
        <w:tabs>
          <w:tab w:val="clear" w:pos="360"/>
          <w:tab w:val="num" w:pos="851"/>
        </w:tabs>
        <w:spacing w:before="100" w:beforeAutospacing="1" w:after="100" w:afterAutospacing="1"/>
        <w:ind w:left="851" w:hanging="425"/>
        <w:rPr>
          <w:rFonts w:ascii="Arial" w:hAnsi="Arial" w:cs="Arial"/>
          <w:bCs/>
          <w:spacing w:val="-3"/>
          <w:sz w:val="22"/>
          <w:szCs w:val="22"/>
        </w:rPr>
      </w:pPr>
      <w:r w:rsidRPr="00AF4E5B">
        <w:rPr>
          <w:rFonts w:ascii="Arial" w:hAnsi="Arial" w:cs="Arial"/>
          <w:color w:val="auto"/>
          <w:sz w:val="22"/>
          <w:szCs w:val="22"/>
        </w:rPr>
        <w:t>ensuring that QTC’s compliance is appropriate for an organisation of its type.</w:t>
      </w:r>
    </w:p>
    <w:p w:rsidR="00D6589B" w:rsidRPr="00EF27EE" w:rsidRDefault="00AF4E5B" w:rsidP="00EF27EE">
      <w:pPr>
        <w:keepLines/>
        <w:numPr>
          <w:ilvl w:val="0"/>
          <w:numId w:val="3"/>
        </w:numPr>
        <w:tabs>
          <w:tab w:val="clear" w:pos="360"/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Vacancies currently exist following </w:t>
      </w:r>
      <w:r w:rsidRPr="00AF4E5B">
        <w:rPr>
          <w:rFonts w:ascii="Arial" w:hAnsi="Arial" w:cs="Arial"/>
          <w:bCs/>
          <w:spacing w:val="-3"/>
          <w:sz w:val="22"/>
          <w:szCs w:val="22"/>
        </w:rPr>
        <w:t xml:space="preserve">the resignation of two members.  </w:t>
      </w:r>
      <w:r w:rsidRPr="00AF4E5B">
        <w:rPr>
          <w:rFonts w:ascii="Arial" w:hAnsi="Arial" w:cs="Arial"/>
          <w:sz w:val="22"/>
          <w:szCs w:val="22"/>
        </w:rPr>
        <w:t>Board members are appointed by the Governor in Council under section 10(2) of the Act.</w:t>
      </w:r>
    </w:p>
    <w:p w:rsidR="00801077" w:rsidRDefault="00D6589B" w:rsidP="00801077">
      <w:pPr>
        <w:keepLines/>
        <w:numPr>
          <w:ilvl w:val="0"/>
          <w:numId w:val="3"/>
        </w:numPr>
        <w:tabs>
          <w:tab w:val="clear" w:pos="36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AF4E5B">
        <w:rPr>
          <w:rFonts w:ascii="Arial" w:hAnsi="Arial" w:cs="Arial"/>
          <w:sz w:val="22"/>
          <w:szCs w:val="22"/>
        </w:rPr>
        <w:t>that Ms Tonianne Dwyer and Mr Stephen Bizzell be recommended to the Governor in Council for appointment as members to the QTC Capital Markets Board for a term commencing from the date of Governor in Council approval up to and including 30 June 2015.</w:t>
      </w:r>
    </w:p>
    <w:p w:rsidR="0002582B" w:rsidRPr="0002582B" w:rsidRDefault="0002582B" w:rsidP="0002582B">
      <w:pPr>
        <w:keepLines/>
        <w:numPr>
          <w:ilvl w:val="0"/>
          <w:numId w:val="3"/>
        </w:numPr>
        <w:tabs>
          <w:tab w:val="clear" w:pos="360"/>
          <w:tab w:val="num" w:pos="426"/>
        </w:tabs>
        <w:spacing w:before="360"/>
        <w:ind w:left="425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2582B" w:rsidRPr="0002582B" w:rsidRDefault="0002582B" w:rsidP="0002582B">
      <w:pPr>
        <w:keepLines/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02582B" w:rsidRPr="0002582B" w:rsidSect="0002582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62" w:rsidRDefault="00353D62" w:rsidP="00D6589B">
      <w:r>
        <w:separator/>
      </w:r>
    </w:p>
  </w:endnote>
  <w:endnote w:type="continuationSeparator" w:id="0">
    <w:p w:rsidR="00353D62" w:rsidRDefault="00353D6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62" w:rsidRDefault="00353D62" w:rsidP="00D6589B">
      <w:r>
        <w:separator/>
      </w:r>
    </w:p>
  </w:footnote>
  <w:footnote w:type="continuationSeparator" w:id="0">
    <w:p w:rsidR="00353D62" w:rsidRDefault="00353D6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F4E5B">
      <w:rPr>
        <w:rFonts w:ascii="Arial" w:hAnsi="Arial" w:cs="Arial"/>
        <w:b/>
        <w:color w:val="auto"/>
        <w:sz w:val="22"/>
        <w:szCs w:val="22"/>
        <w:lang w:eastAsia="en-US"/>
      </w:rPr>
      <w:t>February 2013</w:t>
    </w:r>
  </w:p>
  <w:p w:rsidR="00CB1501" w:rsidRDefault="00AF4E5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and remuneration of members of the Queensland Treasury Corporation (QTC) Capital Markets Board</w:t>
    </w:r>
  </w:p>
  <w:p w:rsidR="00CB1501" w:rsidRDefault="00AF4E5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7061"/>
    <w:multiLevelType w:val="hybridMultilevel"/>
    <w:tmpl w:val="16D0A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582B"/>
    <w:rsid w:val="00080F8F"/>
    <w:rsid w:val="00097A3B"/>
    <w:rsid w:val="0010384C"/>
    <w:rsid w:val="00174117"/>
    <w:rsid w:val="00305EB2"/>
    <w:rsid w:val="00350540"/>
    <w:rsid w:val="00353D62"/>
    <w:rsid w:val="00396F0D"/>
    <w:rsid w:val="003E117B"/>
    <w:rsid w:val="00501C66"/>
    <w:rsid w:val="00550873"/>
    <w:rsid w:val="00574863"/>
    <w:rsid w:val="006D64C1"/>
    <w:rsid w:val="006F4E29"/>
    <w:rsid w:val="007265D0"/>
    <w:rsid w:val="00732E22"/>
    <w:rsid w:val="00741C20"/>
    <w:rsid w:val="00787E97"/>
    <w:rsid w:val="00801077"/>
    <w:rsid w:val="008A3A0C"/>
    <w:rsid w:val="008B2D71"/>
    <w:rsid w:val="008F78A4"/>
    <w:rsid w:val="00904077"/>
    <w:rsid w:val="00937A4A"/>
    <w:rsid w:val="00945402"/>
    <w:rsid w:val="00A563C1"/>
    <w:rsid w:val="00AF4E5B"/>
    <w:rsid w:val="00C75E67"/>
    <w:rsid w:val="00CB1501"/>
    <w:rsid w:val="00CD7A50"/>
    <w:rsid w:val="00CF0D8A"/>
    <w:rsid w:val="00D1740E"/>
    <w:rsid w:val="00D6589B"/>
    <w:rsid w:val="00D766EC"/>
    <w:rsid w:val="00E760C1"/>
    <w:rsid w:val="00EF27EE"/>
    <w:rsid w:val="00F13DBE"/>
    <w:rsid w:val="00F1719F"/>
    <w:rsid w:val="00F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173</Words>
  <Characters>1009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Base>https://www.cabinet.qld.gov.au/documents/2013/Feb/Appts QTC CapMkts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2013-02-28T03:20:00Z</cp:lastPrinted>
  <dcterms:created xsi:type="dcterms:W3CDTF">2017-10-25T00:50:00Z</dcterms:created>
  <dcterms:modified xsi:type="dcterms:W3CDTF">2018-03-06T01:17:00Z</dcterms:modified>
  <cp:category>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